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A70B" w14:textId="493AF064" w:rsidR="009E5D74" w:rsidRPr="009E5D74" w:rsidRDefault="00310D2F" w:rsidP="009E5D74">
      <w:pPr>
        <w:spacing w:after="0"/>
        <w:jc w:val="center"/>
        <w:rPr>
          <w:b/>
          <w:bCs/>
          <w:sz w:val="32"/>
          <w:szCs w:val="28"/>
        </w:rPr>
      </w:pPr>
      <w:r w:rsidRPr="009E5D74">
        <w:rPr>
          <w:b/>
          <w:bCs/>
          <w:sz w:val="32"/>
          <w:szCs w:val="28"/>
        </w:rPr>
        <w:t>R</w:t>
      </w:r>
      <w:r w:rsidRPr="009E5D74">
        <w:rPr>
          <w:b/>
          <w:bCs/>
          <w:sz w:val="32"/>
          <w:szCs w:val="28"/>
        </w:rPr>
        <w:t>etention of university email account upon retirement</w:t>
      </w:r>
    </w:p>
    <w:p w14:paraId="2A78BA47" w14:textId="746EDB58" w:rsidR="00310D2F" w:rsidRPr="009E5D74" w:rsidRDefault="00310D2F" w:rsidP="009E5D74">
      <w:pPr>
        <w:spacing w:after="0"/>
        <w:jc w:val="center"/>
        <w:rPr>
          <w:b/>
          <w:bCs/>
          <w:sz w:val="32"/>
          <w:szCs w:val="28"/>
        </w:rPr>
      </w:pPr>
      <w:r w:rsidRPr="009E5D74">
        <w:rPr>
          <w:b/>
          <w:bCs/>
          <w:sz w:val="32"/>
          <w:szCs w:val="28"/>
        </w:rPr>
        <w:t>G</w:t>
      </w:r>
      <w:r w:rsidRPr="009E5D74">
        <w:rPr>
          <w:b/>
          <w:bCs/>
          <w:sz w:val="32"/>
          <w:szCs w:val="28"/>
        </w:rPr>
        <w:t>lobal problem 2026</w:t>
      </w:r>
    </w:p>
    <w:p w14:paraId="2C95810E" w14:textId="77777777" w:rsidR="001B6AB7" w:rsidRDefault="001B6AB7" w:rsidP="00310D2F">
      <w:pPr>
        <w:spacing w:after="0"/>
        <w:rPr>
          <w:b/>
          <w:bCs/>
        </w:rPr>
      </w:pPr>
    </w:p>
    <w:p w14:paraId="1999B39A" w14:textId="26251E5E" w:rsidR="001B6AB7" w:rsidRPr="001B6AB7" w:rsidRDefault="001B6AB7" w:rsidP="001B6AB7">
      <w:pPr>
        <w:spacing w:after="0"/>
        <w:jc w:val="center"/>
        <w:rPr>
          <w:b/>
          <w:bCs/>
          <w:sz w:val="32"/>
          <w:szCs w:val="28"/>
        </w:rPr>
      </w:pPr>
      <w:r w:rsidRPr="001B6AB7">
        <w:rPr>
          <w:b/>
          <w:bCs/>
          <w:sz w:val="32"/>
          <w:szCs w:val="28"/>
        </w:rPr>
        <w:t>Chat GPT 08.06.2026</w:t>
      </w:r>
    </w:p>
    <w:p w14:paraId="69BC7166" w14:textId="77777777" w:rsidR="001B6AB7" w:rsidRDefault="001B6AB7" w:rsidP="00310D2F">
      <w:pPr>
        <w:spacing w:after="0"/>
        <w:rPr>
          <w:b/>
          <w:bCs/>
        </w:rPr>
      </w:pPr>
    </w:p>
    <w:p w14:paraId="111A3DD1" w14:textId="13189067" w:rsidR="001B6AB7" w:rsidRPr="001B6AB7" w:rsidRDefault="001B6AB7" w:rsidP="001B6AB7">
      <w:pPr>
        <w:spacing w:after="0"/>
      </w:pPr>
      <w:r w:rsidRPr="001B6AB7">
        <w:t xml:space="preserve">The </w:t>
      </w:r>
      <w:r w:rsidRPr="001B6AB7">
        <w:t>topic “Retention of university email accounts upon retirement: a global problem in 2026”, has become a widespread issue rather than a purely local administrative matter.</w:t>
      </w:r>
    </w:p>
    <w:p w14:paraId="31A51185" w14:textId="77777777" w:rsidR="001B6AB7" w:rsidRPr="001B6AB7" w:rsidRDefault="001B6AB7" w:rsidP="001B6AB7">
      <w:pPr>
        <w:spacing w:after="0"/>
        <w:rPr>
          <w:b/>
          <w:bCs/>
        </w:rPr>
      </w:pPr>
    </w:p>
    <w:p w14:paraId="36C24482" w14:textId="77777777" w:rsidR="001B6AB7" w:rsidRDefault="001B6AB7" w:rsidP="001B6AB7">
      <w:pPr>
        <w:spacing w:after="0"/>
        <w:rPr>
          <w:b/>
          <w:bCs/>
        </w:rPr>
      </w:pPr>
      <w:r w:rsidRPr="001B6AB7">
        <w:rPr>
          <w:b/>
          <w:bCs/>
        </w:rPr>
        <w:t>What is happening globally?</w:t>
      </w:r>
    </w:p>
    <w:p w14:paraId="59FE1AC6" w14:textId="77777777" w:rsidR="001B6AB7" w:rsidRPr="001B6AB7" w:rsidRDefault="001B6AB7" w:rsidP="001B6AB7">
      <w:pPr>
        <w:spacing w:after="0"/>
        <w:rPr>
          <w:b/>
          <w:bCs/>
        </w:rPr>
      </w:pPr>
    </w:p>
    <w:p w14:paraId="55CAF0F0" w14:textId="71268C05" w:rsidR="001B6AB7" w:rsidRPr="001B6AB7" w:rsidRDefault="001B6AB7" w:rsidP="001B6AB7">
      <w:pPr>
        <w:spacing w:after="0"/>
      </w:pPr>
      <w:r w:rsidRPr="001B6AB7">
        <w:t xml:space="preserve">Universities are increasingly reconsidering policies that allow retired faculty to keep their institutional email </w:t>
      </w:r>
      <w:r>
        <w:t>accounts</w:t>
      </w:r>
      <w:r w:rsidRPr="001B6AB7">
        <w:t xml:space="preserve"> indefinitely. Many institutions that once provided lifetime access are now restricting, modifying, or terminating these accounts because of:</w:t>
      </w:r>
    </w:p>
    <w:p w14:paraId="658A0C7D" w14:textId="77777777" w:rsidR="001B6AB7" w:rsidRPr="001B6AB7" w:rsidRDefault="001B6AB7" w:rsidP="001B6AB7">
      <w:pPr>
        <w:numPr>
          <w:ilvl w:val="0"/>
          <w:numId w:val="4"/>
        </w:numPr>
        <w:spacing w:after="0"/>
      </w:pPr>
      <w:r w:rsidRPr="001B6AB7">
        <w:t xml:space="preserve">Cybersecurity risks (inactive accounts are attractive targets for phishing and account takeover). </w:t>
      </w:r>
    </w:p>
    <w:p w14:paraId="7C0E076D" w14:textId="77777777" w:rsidR="001B6AB7" w:rsidRPr="001B6AB7" w:rsidRDefault="001B6AB7" w:rsidP="001B6AB7">
      <w:pPr>
        <w:numPr>
          <w:ilvl w:val="0"/>
          <w:numId w:val="4"/>
        </w:numPr>
        <w:spacing w:after="0"/>
      </w:pPr>
      <w:r w:rsidRPr="001B6AB7">
        <w:t xml:space="preserve">Rising costs of cloud email services and storage. </w:t>
      </w:r>
    </w:p>
    <w:p w14:paraId="413FCFA4" w14:textId="77777777" w:rsidR="001B6AB7" w:rsidRPr="001B6AB7" w:rsidRDefault="001B6AB7" w:rsidP="001B6AB7">
      <w:pPr>
        <w:numPr>
          <w:ilvl w:val="0"/>
          <w:numId w:val="4"/>
        </w:numPr>
        <w:spacing w:after="0"/>
      </w:pPr>
      <w:r w:rsidRPr="001B6AB7">
        <w:t xml:space="preserve">Compliance and data-governance requirements. </w:t>
      </w:r>
    </w:p>
    <w:p w14:paraId="480DA7E9" w14:textId="77777777" w:rsidR="001B6AB7" w:rsidRPr="001B6AB7" w:rsidRDefault="001B6AB7" w:rsidP="001B6AB7">
      <w:pPr>
        <w:numPr>
          <w:ilvl w:val="0"/>
          <w:numId w:val="4"/>
        </w:numPr>
        <w:spacing w:after="0"/>
      </w:pPr>
      <w:r w:rsidRPr="001B6AB7">
        <w:t xml:space="preserve">The administrative burden of managing thousands of former employees' accounts. </w:t>
      </w:r>
    </w:p>
    <w:p w14:paraId="2C49E933" w14:textId="77777777" w:rsidR="001B6AB7" w:rsidRDefault="001B6AB7" w:rsidP="001B6AB7">
      <w:pPr>
        <w:spacing w:after="0"/>
      </w:pPr>
    </w:p>
    <w:p w14:paraId="4EEF6D9C" w14:textId="67EDE3D2" w:rsidR="001B6AB7" w:rsidRPr="001B6AB7" w:rsidRDefault="001B6AB7" w:rsidP="001B6AB7">
      <w:pPr>
        <w:spacing w:after="0"/>
        <w:rPr>
          <w:b/>
          <w:bCs/>
        </w:rPr>
      </w:pPr>
      <w:r w:rsidRPr="001B6AB7">
        <w:rPr>
          <w:b/>
          <w:bCs/>
        </w:rPr>
        <w:t>Why retirees object</w:t>
      </w:r>
    </w:p>
    <w:p w14:paraId="2798DDFD" w14:textId="77777777" w:rsidR="001B6AB7" w:rsidRDefault="001B6AB7" w:rsidP="001B6AB7">
      <w:pPr>
        <w:spacing w:after="0"/>
      </w:pPr>
    </w:p>
    <w:p w14:paraId="524CDCF3" w14:textId="2A84114F" w:rsidR="001B6AB7" w:rsidRPr="001B6AB7" w:rsidRDefault="001B6AB7" w:rsidP="001B6AB7">
      <w:pPr>
        <w:spacing w:after="0"/>
      </w:pPr>
      <w:r w:rsidRPr="001B6AB7">
        <w:t>Retired academics often remain professionally active through:</w:t>
      </w:r>
    </w:p>
    <w:p w14:paraId="69C549F7" w14:textId="77777777" w:rsidR="001B6AB7" w:rsidRPr="001B6AB7" w:rsidRDefault="001B6AB7" w:rsidP="001B6AB7">
      <w:pPr>
        <w:numPr>
          <w:ilvl w:val="0"/>
          <w:numId w:val="5"/>
        </w:numPr>
        <w:spacing w:after="0"/>
      </w:pPr>
      <w:r w:rsidRPr="001B6AB7">
        <w:t xml:space="preserve">Research and publication. </w:t>
      </w:r>
    </w:p>
    <w:p w14:paraId="50B373F4" w14:textId="77777777" w:rsidR="001B6AB7" w:rsidRPr="001B6AB7" w:rsidRDefault="001B6AB7" w:rsidP="001B6AB7">
      <w:pPr>
        <w:numPr>
          <w:ilvl w:val="0"/>
          <w:numId w:val="5"/>
        </w:numPr>
        <w:spacing w:after="0"/>
      </w:pPr>
      <w:r w:rsidRPr="001B6AB7">
        <w:t xml:space="preserve">Grant participation. </w:t>
      </w:r>
    </w:p>
    <w:p w14:paraId="0F742EB6" w14:textId="77777777" w:rsidR="001B6AB7" w:rsidRPr="001B6AB7" w:rsidRDefault="001B6AB7" w:rsidP="001B6AB7">
      <w:pPr>
        <w:numPr>
          <w:ilvl w:val="0"/>
          <w:numId w:val="5"/>
        </w:numPr>
        <w:spacing w:after="0"/>
      </w:pPr>
      <w:r w:rsidRPr="001B6AB7">
        <w:t xml:space="preserve">Mentoring students and younger researchers. </w:t>
      </w:r>
    </w:p>
    <w:p w14:paraId="7730B223" w14:textId="77777777" w:rsidR="001B6AB7" w:rsidRPr="001B6AB7" w:rsidRDefault="001B6AB7" w:rsidP="001B6AB7">
      <w:pPr>
        <w:numPr>
          <w:ilvl w:val="0"/>
          <w:numId w:val="5"/>
        </w:numPr>
        <w:spacing w:after="0"/>
      </w:pPr>
      <w:r w:rsidRPr="001B6AB7">
        <w:t xml:space="preserve">Professional societies and editorial work. </w:t>
      </w:r>
    </w:p>
    <w:p w14:paraId="222EE77F" w14:textId="77777777" w:rsidR="001B6AB7" w:rsidRPr="001B6AB7" w:rsidRDefault="001B6AB7" w:rsidP="001B6AB7">
      <w:pPr>
        <w:numPr>
          <w:ilvl w:val="0"/>
          <w:numId w:val="5"/>
        </w:numPr>
        <w:spacing w:after="0"/>
      </w:pPr>
      <w:r w:rsidRPr="001B6AB7">
        <w:t xml:space="preserve">International collaborations. </w:t>
      </w:r>
    </w:p>
    <w:p w14:paraId="7C73B37F" w14:textId="77777777" w:rsidR="001B6AB7" w:rsidRDefault="001B6AB7" w:rsidP="001B6AB7">
      <w:pPr>
        <w:spacing w:after="0"/>
      </w:pPr>
      <w:r w:rsidRPr="001B6AB7">
        <w:t xml:space="preserve">For them, a university email address serves as an important professional identity and continuity mechanism. Loss of the address can disrupt long-standing scholarly networks and access to services linked to that email. </w:t>
      </w:r>
    </w:p>
    <w:p w14:paraId="5A05DB91" w14:textId="77777777" w:rsidR="001B6AB7" w:rsidRPr="001B6AB7" w:rsidRDefault="001B6AB7" w:rsidP="001B6AB7">
      <w:pPr>
        <w:spacing w:after="0"/>
      </w:pPr>
    </w:p>
    <w:p w14:paraId="7DBA1076" w14:textId="77777777" w:rsidR="001B6AB7" w:rsidRPr="001B6AB7" w:rsidRDefault="001B6AB7" w:rsidP="001B6AB7">
      <w:pPr>
        <w:spacing w:after="0"/>
        <w:rPr>
          <w:b/>
          <w:bCs/>
        </w:rPr>
      </w:pPr>
      <w:r w:rsidRPr="001B6AB7">
        <w:rPr>
          <w:b/>
          <w:bCs/>
        </w:rPr>
        <w:t>How universities are responding</w:t>
      </w:r>
    </w:p>
    <w:p w14:paraId="0348BE94" w14:textId="77777777" w:rsidR="001B6AB7" w:rsidRDefault="001B6AB7" w:rsidP="001B6AB7">
      <w:pPr>
        <w:spacing w:after="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F367C2" w:rsidRPr="001B6AB7" w14:paraId="3FEAD78E" w14:textId="77777777" w:rsidTr="00F367C2">
        <w:trPr>
          <w:tblCellSpacing w:w="15" w:type="dxa"/>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6"/>
              <w:gridCol w:w="3930"/>
            </w:tblGrid>
            <w:tr w:rsidR="00F367C2" w:rsidRPr="00F367C2" w14:paraId="666C1FF7" w14:textId="77777777">
              <w:trPr>
                <w:tblHeader/>
                <w:tblCellSpacing w:w="15" w:type="dxa"/>
              </w:trPr>
              <w:tc>
                <w:tcPr>
                  <w:tcW w:w="0" w:type="auto"/>
                  <w:vAlign w:val="center"/>
                  <w:hideMark/>
                </w:tcPr>
                <w:p w14:paraId="262039C0" w14:textId="77777777" w:rsidR="00F367C2" w:rsidRPr="00F367C2" w:rsidRDefault="00F367C2" w:rsidP="00F367C2">
                  <w:pPr>
                    <w:rPr>
                      <w:b/>
                      <w:bCs/>
                    </w:rPr>
                  </w:pPr>
                  <w:r w:rsidRPr="00F367C2">
                    <w:rPr>
                      <w:b/>
                      <w:bCs/>
                    </w:rPr>
                    <w:t>Approach</w:t>
                  </w:r>
                </w:p>
              </w:tc>
              <w:tc>
                <w:tcPr>
                  <w:tcW w:w="0" w:type="auto"/>
                  <w:vAlign w:val="center"/>
                  <w:hideMark/>
                </w:tcPr>
                <w:p w14:paraId="3D544F1F" w14:textId="4D394E89" w:rsidR="00F367C2" w:rsidRPr="00F367C2" w:rsidRDefault="00DD11FD" w:rsidP="00F367C2">
                  <w:pPr>
                    <w:rPr>
                      <w:b/>
                      <w:bCs/>
                    </w:rPr>
                  </w:pPr>
                  <w:r>
                    <w:rPr>
                      <w:b/>
                      <w:bCs/>
                    </w:rPr>
                    <w:t xml:space="preserve">                                         </w:t>
                  </w:r>
                  <w:r w:rsidR="00F367C2" w:rsidRPr="00F367C2">
                    <w:rPr>
                      <w:b/>
                      <w:bCs/>
                    </w:rPr>
                    <w:t>Examples</w:t>
                  </w:r>
                </w:p>
              </w:tc>
            </w:tr>
          </w:tbl>
          <w:p w14:paraId="5D13406A" w14:textId="77777777" w:rsidR="00F367C2" w:rsidRPr="00F367C2" w:rsidRDefault="00F367C2" w:rsidP="00F367C2">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12"/>
              <w:gridCol w:w="5024"/>
            </w:tblGrid>
            <w:tr w:rsidR="00F367C2" w:rsidRPr="00F367C2" w14:paraId="430614A1" w14:textId="77777777">
              <w:trPr>
                <w:tblCellSpacing w:w="15" w:type="dxa"/>
              </w:trPr>
              <w:tc>
                <w:tcPr>
                  <w:tcW w:w="0" w:type="auto"/>
                  <w:vAlign w:val="center"/>
                  <w:hideMark/>
                </w:tcPr>
                <w:p w14:paraId="469AFBBF" w14:textId="77777777" w:rsidR="00F367C2" w:rsidRPr="00F367C2" w:rsidRDefault="00F367C2" w:rsidP="00DD11FD">
                  <w:pPr>
                    <w:spacing w:after="0"/>
                  </w:pPr>
                  <w:r w:rsidRPr="00F367C2">
                    <w:t>Keep original university email indefinitely</w:t>
                  </w:r>
                </w:p>
              </w:tc>
              <w:tc>
                <w:tcPr>
                  <w:tcW w:w="0" w:type="auto"/>
                  <w:vAlign w:val="center"/>
                  <w:hideMark/>
                </w:tcPr>
                <w:p w14:paraId="42B8B50A" w14:textId="77777777" w:rsidR="00F367C2" w:rsidRPr="00F367C2" w:rsidRDefault="00F367C2" w:rsidP="00DD11FD">
                  <w:pPr>
                    <w:spacing w:after="0"/>
                  </w:pPr>
                  <w:r w:rsidRPr="00F367C2">
                    <w:t xml:space="preserve">Some emeritus faculty programs continue this model. </w:t>
                  </w:r>
                </w:p>
              </w:tc>
            </w:tr>
          </w:tbl>
          <w:p w14:paraId="5B522FB7" w14:textId="77777777" w:rsidR="00F367C2" w:rsidRPr="00F367C2" w:rsidRDefault="00F367C2" w:rsidP="00DD11FD">
            <w:pPr>
              <w:spacing w:after="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5"/>
              <w:gridCol w:w="6111"/>
            </w:tblGrid>
            <w:tr w:rsidR="00F367C2" w:rsidRPr="00F367C2" w14:paraId="2B94FBDA" w14:textId="77777777">
              <w:trPr>
                <w:tblCellSpacing w:w="15" w:type="dxa"/>
              </w:trPr>
              <w:tc>
                <w:tcPr>
                  <w:tcW w:w="0" w:type="auto"/>
                  <w:vAlign w:val="center"/>
                  <w:hideMark/>
                </w:tcPr>
                <w:p w14:paraId="7AFD6767" w14:textId="77777777" w:rsidR="00F367C2" w:rsidRPr="00F367C2" w:rsidRDefault="00F367C2" w:rsidP="00DD11FD">
                  <w:pPr>
                    <w:spacing w:after="0"/>
                  </w:pPr>
                  <w:r w:rsidRPr="00F367C2">
                    <w:t>Replace with retiree email address</w:t>
                  </w:r>
                </w:p>
              </w:tc>
              <w:tc>
                <w:tcPr>
                  <w:tcW w:w="0" w:type="auto"/>
                  <w:vAlign w:val="center"/>
                  <w:hideMark/>
                </w:tcPr>
                <w:p w14:paraId="6674D825" w14:textId="1B3E6EA3" w:rsidR="00F367C2" w:rsidRPr="00F367C2" w:rsidRDefault="00DD11FD" w:rsidP="00DD11FD">
                  <w:pPr>
                    <w:spacing w:after="0"/>
                  </w:pPr>
                  <w:r>
                    <w:t xml:space="preserve">                 </w:t>
                  </w:r>
                  <w:r w:rsidR="00F367C2" w:rsidRPr="00F367C2">
                    <w:t xml:space="preserve">Universities create addresses such </w:t>
                  </w:r>
                  <w:proofErr w:type="gramStart"/>
                  <w:r w:rsidR="00F367C2" w:rsidRPr="00F367C2">
                    <w:t>as</w:t>
                  </w:r>
                  <w:r>
                    <w:t xml:space="preserve"> </w:t>
                  </w:r>
                  <w:r w:rsidR="00F367C2" w:rsidRPr="00F367C2">
                    <w:t>@retiree.university.edu</w:t>
                  </w:r>
                  <w:proofErr w:type="gramEnd"/>
                  <w:r w:rsidR="00F367C2" w:rsidRPr="00F367C2">
                    <w:t xml:space="preserve">. </w:t>
                  </w:r>
                </w:p>
              </w:tc>
            </w:tr>
          </w:tbl>
          <w:p w14:paraId="0D8EB011" w14:textId="77777777" w:rsidR="00F367C2" w:rsidRPr="00F367C2" w:rsidRDefault="00F367C2" w:rsidP="00DD11FD">
            <w:pPr>
              <w:spacing w:after="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0"/>
              <w:gridCol w:w="4184"/>
            </w:tblGrid>
            <w:tr w:rsidR="00F367C2" w:rsidRPr="00F367C2" w14:paraId="373C2D08" w14:textId="77777777">
              <w:trPr>
                <w:tblCellSpacing w:w="15" w:type="dxa"/>
              </w:trPr>
              <w:tc>
                <w:tcPr>
                  <w:tcW w:w="0" w:type="auto"/>
                  <w:vAlign w:val="center"/>
                  <w:hideMark/>
                </w:tcPr>
                <w:p w14:paraId="360535CC" w14:textId="77777777" w:rsidR="00F367C2" w:rsidRPr="00F367C2" w:rsidRDefault="00F367C2" w:rsidP="00DD11FD">
                  <w:pPr>
                    <w:spacing w:after="0"/>
                  </w:pPr>
                  <w:r w:rsidRPr="00F367C2">
                    <w:t>Access only for emeritus faculty</w:t>
                  </w:r>
                </w:p>
              </w:tc>
              <w:tc>
                <w:tcPr>
                  <w:tcW w:w="0" w:type="auto"/>
                  <w:vAlign w:val="center"/>
                  <w:hideMark/>
                </w:tcPr>
                <w:p w14:paraId="00EDA0BD" w14:textId="6956604B" w:rsidR="00F367C2" w:rsidRPr="00F367C2" w:rsidRDefault="00DD11FD" w:rsidP="00DD11FD">
                  <w:pPr>
                    <w:spacing w:after="0"/>
                  </w:pPr>
                  <w:r>
                    <w:t xml:space="preserve">         </w:t>
                  </w:r>
                  <w:r w:rsidR="00F367C2" w:rsidRPr="00F367C2">
                    <w:t xml:space="preserve">Retention tied to emeritus status. </w:t>
                  </w:r>
                </w:p>
              </w:tc>
            </w:tr>
          </w:tbl>
          <w:p w14:paraId="1A98527E" w14:textId="77777777" w:rsidR="00F367C2" w:rsidRPr="00F367C2" w:rsidRDefault="00F367C2" w:rsidP="00DD11FD">
            <w:pPr>
              <w:spacing w:after="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4"/>
              <w:gridCol w:w="4465"/>
            </w:tblGrid>
            <w:tr w:rsidR="00F367C2" w:rsidRPr="00F367C2" w14:paraId="538A357D" w14:textId="77777777">
              <w:trPr>
                <w:tblCellSpacing w:w="15" w:type="dxa"/>
              </w:trPr>
              <w:tc>
                <w:tcPr>
                  <w:tcW w:w="0" w:type="auto"/>
                  <w:vAlign w:val="center"/>
                  <w:hideMark/>
                </w:tcPr>
                <w:p w14:paraId="60A16EC2" w14:textId="77777777" w:rsidR="00F367C2" w:rsidRPr="00F367C2" w:rsidRDefault="00F367C2" w:rsidP="00DD11FD">
                  <w:pPr>
                    <w:spacing w:after="0"/>
                  </w:pPr>
                  <w:r w:rsidRPr="00F367C2">
                    <w:t>Sponsored or renewable access</w:t>
                  </w:r>
                </w:p>
              </w:tc>
              <w:tc>
                <w:tcPr>
                  <w:tcW w:w="0" w:type="auto"/>
                  <w:vAlign w:val="center"/>
                  <w:hideMark/>
                </w:tcPr>
                <w:p w14:paraId="2C22F127" w14:textId="7C61B922" w:rsidR="00F367C2" w:rsidRPr="00F367C2" w:rsidRDefault="00DD11FD" w:rsidP="00DD11FD">
                  <w:pPr>
                    <w:spacing w:after="0"/>
                  </w:pPr>
                  <w:r>
                    <w:t xml:space="preserve">        </w:t>
                  </w:r>
                  <w:r w:rsidR="00F367C2" w:rsidRPr="00F367C2">
                    <w:t xml:space="preserve">Annual or periodic renewal required. </w:t>
                  </w:r>
                </w:p>
              </w:tc>
            </w:tr>
          </w:tbl>
          <w:p w14:paraId="7832F1D2" w14:textId="77777777" w:rsidR="00F367C2" w:rsidRPr="00F367C2" w:rsidRDefault="00F367C2" w:rsidP="00DD11FD">
            <w:pPr>
              <w:spacing w:after="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14"/>
              <w:gridCol w:w="4922"/>
            </w:tblGrid>
            <w:tr w:rsidR="00F367C2" w:rsidRPr="00F367C2" w14:paraId="3B067536" w14:textId="77777777">
              <w:trPr>
                <w:tblCellSpacing w:w="15" w:type="dxa"/>
              </w:trPr>
              <w:tc>
                <w:tcPr>
                  <w:tcW w:w="0" w:type="auto"/>
                  <w:vAlign w:val="center"/>
                  <w:hideMark/>
                </w:tcPr>
                <w:p w14:paraId="5573F754" w14:textId="77777777" w:rsidR="00F367C2" w:rsidRPr="00F367C2" w:rsidRDefault="00F367C2" w:rsidP="00DD11FD">
                  <w:pPr>
                    <w:spacing w:after="0"/>
                  </w:pPr>
                  <w:r w:rsidRPr="00F367C2">
                    <w:lastRenderedPageBreak/>
                    <w:t>Immediate termination after retirement</w:t>
                  </w:r>
                </w:p>
              </w:tc>
              <w:tc>
                <w:tcPr>
                  <w:tcW w:w="0" w:type="auto"/>
                  <w:vAlign w:val="center"/>
                  <w:hideMark/>
                </w:tcPr>
                <w:p w14:paraId="5CE43D09" w14:textId="77777777" w:rsidR="00F367C2" w:rsidRPr="00F367C2" w:rsidRDefault="00F367C2" w:rsidP="00DD11FD">
                  <w:pPr>
                    <w:spacing w:after="0"/>
                  </w:pPr>
                  <w:r w:rsidRPr="00F367C2">
                    <w:t xml:space="preserve">Increasingly common for non-emeritus retirees. </w:t>
                  </w:r>
                </w:p>
              </w:tc>
            </w:tr>
          </w:tbl>
          <w:p w14:paraId="02924196" w14:textId="77777777" w:rsidR="00F367C2" w:rsidRPr="001B6AB7" w:rsidRDefault="00F367C2" w:rsidP="00F367C2"/>
        </w:tc>
      </w:tr>
    </w:tbl>
    <w:p w14:paraId="0B30B07A" w14:textId="77777777" w:rsidR="00DD11FD" w:rsidRDefault="00DD11FD" w:rsidP="001B6AB7">
      <w:pPr>
        <w:spacing w:after="0"/>
        <w:rPr>
          <w:b/>
          <w:bCs/>
        </w:rPr>
      </w:pPr>
    </w:p>
    <w:p w14:paraId="2F5C480B" w14:textId="2A86A9E6" w:rsidR="001B6AB7" w:rsidRPr="001B6AB7" w:rsidRDefault="001B6AB7" w:rsidP="001B6AB7">
      <w:pPr>
        <w:spacing w:after="0"/>
        <w:rPr>
          <w:b/>
          <w:bCs/>
        </w:rPr>
      </w:pPr>
      <w:r w:rsidRPr="001B6AB7">
        <w:rPr>
          <w:b/>
          <w:bCs/>
        </w:rPr>
        <w:t>Why 2026 is significant</w:t>
      </w:r>
    </w:p>
    <w:p w14:paraId="20B4634D" w14:textId="77777777" w:rsidR="001B6AB7" w:rsidRDefault="001B6AB7" w:rsidP="001B6AB7">
      <w:pPr>
        <w:spacing w:after="0"/>
      </w:pPr>
    </w:p>
    <w:p w14:paraId="0244963B" w14:textId="67361444" w:rsidR="001B6AB7" w:rsidRDefault="001B6AB7" w:rsidP="001B6AB7">
      <w:pPr>
        <w:spacing w:after="0"/>
      </w:pPr>
      <w:r w:rsidRPr="001B6AB7">
        <w:t xml:space="preserve">Recent policy changes and debates across multiple universities show a clear trend away from automatic lifetime email privileges. At the same time, retiree and emeriti organizations are advocating for retention rights, arguing that universities benefit from continued engagement of retired scholars. In 2025–2026, organized campaigns emerged specifically calling for universities to preserve email access for active retired faculty. </w:t>
      </w:r>
    </w:p>
    <w:p w14:paraId="44486AB9" w14:textId="77777777" w:rsidR="001B6AB7" w:rsidRPr="001B6AB7" w:rsidRDefault="001B6AB7" w:rsidP="001B6AB7">
      <w:pPr>
        <w:spacing w:after="0"/>
      </w:pPr>
    </w:p>
    <w:p w14:paraId="1C440CCF" w14:textId="77777777" w:rsidR="001B6AB7" w:rsidRPr="001B6AB7" w:rsidRDefault="001B6AB7" w:rsidP="001B6AB7">
      <w:pPr>
        <w:spacing w:after="0"/>
        <w:rPr>
          <w:b/>
          <w:bCs/>
        </w:rPr>
      </w:pPr>
      <w:r w:rsidRPr="001B6AB7">
        <w:rPr>
          <w:b/>
          <w:bCs/>
        </w:rPr>
        <w:t>Possible policy compromise</w:t>
      </w:r>
    </w:p>
    <w:p w14:paraId="2A0B6464" w14:textId="77777777" w:rsidR="001B6AB7" w:rsidRPr="001B6AB7" w:rsidRDefault="001B6AB7" w:rsidP="001B6AB7">
      <w:pPr>
        <w:spacing w:after="0"/>
      </w:pPr>
    </w:p>
    <w:p w14:paraId="79AC1D97" w14:textId="77777777" w:rsidR="001B6AB7" w:rsidRPr="001B6AB7" w:rsidRDefault="001B6AB7" w:rsidP="001B6AB7">
      <w:pPr>
        <w:spacing w:after="0"/>
      </w:pPr>
      <w:r w:rsidRPr="001B6AB7">
        <w:t>A model increasingly discussed is:</w:t>
      </w:r>
    </w:p>
    <w:p w14:paraId="5AF82A22" w14:textId="77777777" w:rsidR="001B6AB7" w:rsidRPr="001B6AB7" w:rsidRDefault="001B6AB7" w:rsidP="001B6AB7">
      <w:pPr>
        <w:numPr>
          <w:ilvl w:val="0"/>
          <w:numId w:val="6"/>
        </w:numPr>
        <w:spacing w:after="0"/>
      </w:pPr>
      <w:r w:rsidRPr="001B6AB7">
        <w:t xml:space="preserve">Retain email access for retired faculty who remain academically active. </w:t>
      </w:r>
    </w:p>
    <w:p w14:paraId="7D7532FD" w14:textId="77777777" w:rsidR="001B6AB7" w:rsidRPr="001B6AB7" w:rsidRDefault="001B6AB7" w:rsidP="001B6AB7">
      <w:pPr>
        <w:numPr>
          <w:ilvl w:val="0"/>
          <w:numId w:val="6"/>
        </w:numPr>
        <w:spacing w:after="0"/>
      </w:pPr>
      <w:r w:rsidRPr="001B6AB7">
        <w:t xml:space="preserve">Move them to a dedicated retiree or emeritus domain. </w:t>
      </w:r>
    </w:p>
    <w:p w14:paraId="14320F8B" w14:textId="77777777" w:rsidR="001B6AB7" w:rsidRPr="001B6AB7" w:rsidRDefault="001B6AB7" w:rsidP="001B6AB7">
      <w:pPr>
        <w:numPr>
          <w:ilvl w:val="0"/>
          <w:numId w:val="6"/>
        </w:numPr>
        <w:spacing w:after="0"/>
      </w:pPr>
      <w:r w:rsidRPr="001B6AB7">
        <w:t xml:space="preserve">Require periodic account renewal and security training. </w:t>
      </w:r>
    </w:p>
    <w:p w14:paraId="5F8B163E" w14:textId="77777777" w:rsidR="001B6AB7" w:rsidRPr="001B6AB7" w:rsidRDefault="001B6AB7" w:rsidP="001B6AB7">
      <w:pPr>
        <w:numPr>
          <w:ilvl w:val="0"/>
          <w:numId w:val="6"/>
        </w:numPr>
        <w:spacing w:after="0"/>
      </w:pPr>
      <w:r w:rsidRPr="001B6AB7">
        <w:t xml:space="preserve">Limit access to email and calendar while removing other institutional systems. </w:t>
      </w:r>
    </w:p>
    <w:p w14:paraId="1CEA8E9B" w14:textId="77777777" w:rsidR="001B6AB7" w:rsidRDefault="001B6AB7" w:rsidP="001B6AB7">
      <w:pPr>
        <w:spacing w:after="0"/>
      </w:pPr>
    </w:p>
    <w:p w14:paraId="75E1450D" w14:textId="121724C7" w:rsidR="001B6AB7" w:rsidRPr="001B6AB7" w:rsidRDefault="001B6AB7" w:rsidP="001B6AB7">
      <w:pPr>
        <w:spacing w:after="0"/>
      </w:pPr>
      <w:r w:rsidRPr="001B6AB7">
        <w:t>This attempts to balance academic continuity with cybersecurity and cost concerns.</w:t>
      </w:r>
    </w:p>
    <w:p w14:paraId="1C5CA5D1" w14:textId="2B335139" w:rsidR="00DD11FD" w:rsidRDefault="001B6AB7" w:rsidP="00310D2F">
      <w:pPr>
        <w:spacing w:after="0"/>
        <w:rPr>
          <w:b/>
          <w:bCs/>
        </w:rPr>
      </w:pPr>
      <w:r w:rsidRPr="001B6AB7">
        <w:t>In that sense, retention of university email accounts upon retirement can reasonably be described as a global higher-education governance issue in 2026, with institutions worldwide trying to reconcile digital security requirements and lifelong scholarly engagement.</w:t>
      </w:r>
    </w:p>
    <w:p w14:paraId="71602769" w14:textId="48DDBFCC" w:rsidR="00310D2F" w:rsidRPr="00310D2F" w:rsidRDefault="00310D2F" w:rsidP="00310D2F">
      <w:pPr>
        <w:spacing w:after="0"/>
        <w:jc w:val="center"/>
        <w:rPr>
          <w:b/>
          <w:bCs/>
          <w:sz w:val="32"/>
          <w:szCs w:val="28"/>
        </w:rPr>
      </w:pPr>
      <w:r w:rsidRPr="00310D2F">
        <w:rPr>
          <w:b/>
          <w:bCs/>
          <w:sz w:val="32"/>
          <w:szCs w:val="28"/>
        </w:rPr>
        <w:t>Google AI Mode 08.06.2026</w:t>
      </w:r>
    </w:p>
    <w:p w14:paraId="4FFBD2D7" w14:textId="77777777" w:rsidR="00310D2F" w:rsidRPr="00310D2F" w:rsidRDefault="00310D2F" w:rsidP="00310D2F">
      <w:pPr>
        <w:spacing w:after="0"/>
        <w:rPr>
          <w:b/>
          <w:bCs/>
        </w:rPr>
      </w:pPr>
    </w:p>
    <w:p w14:paraId="748EEE49" w14:textId="42A2FC85" w:rsidR="00310D2F" w:rsidRPr="00310D2F" w:rsidRDefault="00310D2F" w:rsidP="00310D2F">
      <w:pPr>
        <w:spacing w:after="0"/>
      </w:pPr>
      <w:r w:rsidRPr="00310D2F">
        <w:t xml:space="preserve">The </w:t>
      </w:r>
      <w:r w:rsidRPr="00310D2F">
        <w:rPr>
          <w:i/>
          <w:iCs/>
        </w:rPr>
        <w:t>retention of university email accounts upon retirement</w:t>
      </w:r>
      <w:r w:rsidRPr="00310D2F">
        <w:t xml:space="preserve"> has escalated into a prominent global academic crisis. Historically considered a standard courtesy, numerous institutions worldwide are systematically terminating email access for departing faculty. This shift has triggered significant resistance from international academic networks, who frame the practice as a form of </w:t>
      </w:r>
      <w:r w:rsidRPr="00310D2F">
        <w:rPr>
          <w:i/>
          <w:iCs/>
        </w:rPr>
        <w:t>"digital ageism"</w:t>
      </w:r>
      <w:r w:rsidRPr="00310D2F">
        <w:t xml:space="preserve"> and an obstacle to active aging. </w:t>
      </w:r>
    </w:p>
    <w:p w14:paraId="7BBE0A93" w14:textId="77777777" w:rsidR="00310D2F" w:rsidRDefault="00310D2F" w:rsidP="00310D2F">
      <w:pPr>
        <w:spacing w:after="0"/>
        <w:rPr>
          <w:rFonts w:ascii="Segoe UI Emoji" w:hAnsi="Segoe UI Emoji" w:cs="Segoe UI Emoji"/>
          <w:b/>
          <w:bCs/>
        </w:rPr>
      </w:pPr>
    </w:p>
    <w:p w14:paraId="1C2A5BCD" w14:textId="095145F0" w:rsidR="00310D2F" w:rsidRDefault="00310D2F" w:rsidP="00310D2F">
      <w:pPr>
        <w:spacing w:after="0"/>
        <w:rPr>
          <w:b/>
          <w:bCs/>
        </w:rPr>
      </w:pPr>
      <w:r w:rsidRPr="00310D2F">
        <w:rPr>
          <w:b/>
          <w:bCs/>
        </w:rPr>
        <w:t>The Core Conflict: Why It Is a Global Problem</w:t>
      </w:r>
    </w:p>
    <w:p w14:paraId="02264B0B" w14:textId="77777777" w:rsidR="009F333E" w:rsidRPr="00310D2F" w:rsidRDefault="009F333E" w:rsidP="00310D2F">
      <w:pPr>
        <w:spacing w:after="0"/>
        <w:rPr>
          <w:b/>
          <w:bCs/>
        </w:rPr>
      </w:pPr>
    </w:p>
    <w:p w14:paraId="20108F68" w14:textId="65461BA0" w:rsidR="00310D2F" w:rsidRPr="00310D2F" w:rsidRDefault="00310D2F" w:rsidP="00310D2F">
      <w:pPr>
        <w:spacing w:after="0"/>
      </w:pPr>
      <w:r w:rsidRPr="00310D2F">
        <w:t>The issue stems from a widening disconnect between modern academic retirement realities and strict corporate-style university administration policies.</w:t>
      </w:r>
    </w:p>
    <w:p w14:paraId="365A4AA5" w14:textId="323C720B" w:rsidR="00310D2F" w:rsidRPr="00310D2F" w:rsidRDefault="00310D2F" w:rsidP="00310D2F">
      <w:pPr>
        <w:numPr>
          <w:ilvl w:val="0"/>
          <w:numId w:val="1"/>
        </w:numPr>
        <w:spacing w:after="0"/>
      </w:pPr>
      <w:r w:rsidRPr="009F333E">
        <w:rPr>
          <w:i/>
          <w:iCs/>
        </w:rPr>
        <w:t>The Non-Emeriti Gap</w:t>
      </w:r>
      <w:r w:rsidRPr="00310D2F">
        <w:t xml:space="preserve">: While prestigious "Emeritus" title holders typically retain full IT privileges, </w:t>
      </w:r>
      <w:r w:rsidRPr="009F333E">
        <w:rPr>
          <w:i/>
          <w:iCs/>
        </w:rPr>
        <w:t xml:space="preserve">thousands of standard retired professors and researchers </w:t>
      </w:r>
      <w:r w:rsidRPr="00310D2F">
        <w:t>face abrupt disconnection the day their contract ends.</w:t>
      </w:r>
    </w:p>
    <w:p w14:paraId="40EE68D1" w14:textId="27378B81" w:rsidR="00310D2F" w:rsidRPr="00310D2F" w:rsidRDefault="00310D2F" w:rsidP="00310D2F">
      <w:pPr>
        <w:numPr>
          <w:ilvl w:val="0"/>
          <w:numId w:val="1"/>
        </w:numPr>
        <w:spacing w:after="0"/>
      </w:pPr>
      <w:r w:rsidRPr="009F333E">
        <w:rPr>
          <w:i/>
          <w:iCs/>
        </w:rPr>
        <w:t>Erasure of Professional Identity</w:t>
      </w:r>
      <w:r w:rsidRPr="00310D2F">
        <w:t>: For a lifelong academic, an institutional email domain (e.g</w:t>
      </w:r>
      <w:proofErr w:type="gramStart"/>
      <w:r w:rsidRPr="00310D2F">
        <w:t>., @</w:t>
      </w:r>
      <w:proofErr w:type="gramEnd"/>
      <w:r w:rsidRPr="00310D2F">
        <w:t xml:space="preserve">university.edu) serves as a digital badge of credibility. Being forced onto generic domains (like Gmail or Yahoo) is reported by researchers </w:t>
      </w:r>
      <w:r w:rsidRPr="00310D2F">
        <w:lastRenderedPageBreak/>
        <w:t>as a destabilizing blow that diminishes their professional standing and breaks their sense of community.</w:t>
      </w:r>
    </w:p>
    <w:p w14:paraId="153801B4" w14:textId="46E89380" w:rsidR="00310D2F" w:rsidRPr="00310D2F" w:rsidRDefault="00310D2F" w:rsidP="00310D2F">
      <w:pPr>
        <w:numPr>
          <w:ilvl w:val="0"/>
          <w:numId w:val="1"/>
        </w:numPr>
        <w:spacing w:after="0"/>
      </w:pPr>
      <w:r w:rsidRPr="009F333E">
        <w:rPr>
          <w:i/>
          <w:iCs/>
        </w:rPr>
        <w:t>Disruption to Global Scholarship</w:t>
      </w:r>
      <w:r w:rsidRPr="00310D2F">
        <w:t>: Retired academics frequently remain active in peer reviews, book editing, mentoring, and research. When their institutional emails bounce, they become unreachable to international co-authors, publishers, and former students.</w:t>
      </w:r>
    </w:p>
    <w:p w14:paraId="20A61FD3" w14:textId="03C3220D" w:rsidR="00310D2F" w:rsidRDefault="00310D2F" w:rsidP="00310D2F">
      <w:pPr>
        <w:numPr>
          <w:ilvl w:val="0"/>
          <w:numId w:val="1"/>
        </w:numPr>
        <w:spacing w:after="0"/>
      </w:pPr>
      <w:r w:rsidRPr="009F333E">
        <w:rPr>
          <w:i/>
          <w:iCs/>
        </w:rPr>
        <w:t>Lockout from Academic Networks</w:t>
      </w:r>
      <w:r w:rsidRPr="00310D2F">
        <w:t>: Platforms critical to modern scholarship, such as ResearchGate, rely heavily on institutional email verification. Retired professors worldwide report being locked out of their research profiles or unable to register updates because they no longer possess a valid university address.</w:t>
      </w:r>
    </w:p>
    <w:p w14:paraId="73432431" w14:textId="77777777" w:rsidR="009F333E" w:rsidRPr="00310D2F" w:rsidRDefault="009F333E" w:rsidP="009F333E">
      <w:pPr>
        <w:spacing w:after="0"/>
        <w:ind w:left="720"/>
      </w:pPr>
    </w:p>
    <w:p w14:paraId="76B46424" w14:textId="6FFE0597" w:rsidR="00310D2F" w:rsidRDefault="00310D2F" w:rsidP="00310D2F">
      <w:pPr>
        <w:spacing w:after="0"/>
        <w:rPr>
          <w:b/>
          <w:bCs/>
        </w:rPr>
      </w:pPr>
      <w:r w:rsidRPr="00310D2F">
        <w:rPr>
          <w:b/>
          <w:bCs/>
        </w:rPr>
        <w:t>Why Universities Are Shutting Accounts Down</w:t>
      </w:r>
    </w:p>
    <w:p w14:paraId="627343A1" w14:textId="77777777" w:rsidR="009F333E" w:rsidRPr="00310D2F" w:rsidRDefault="009F333E" w:rsidP="00310D2F">
      <w:pPr>
        <w:spacing w:after="0"/>
        <w:rPr>
          <w:b/>
          <w:bCs/>
        </w:rPr>
      </w:pPr>
    </w:p>
    <w:p w14:paraId="0172A85A" w14:textId="77777777" w:rsidR="00310D2F" w:rsidRPr="00310D2F" w:rsidRDefault="00310D2F" w:rsidP="00310D2F">
      <w:pPr>
        <w:spacing w:after="0"/>
      </w:pPr>
      <w:r w:rsidRPr="00310D2F">
        <w:t>Administrators cite three primary logistical and financial pressures for executing these sudden cuts:</w:t>
      </w:r>
    </w:p>
    <w:p w14:paraId="26B12E22" w14:textId="0E523879" w:rsidR="00310D2F" w:rsidRPr="00310D2F" w:rsidRDefault="00310D2F" w:rsidP="00310D2F">
      <w:pPr>
        <w:numPr>
          <w:ilvl w:val="0"/>
          <w:numId w:val="2"/>
        </w:numPr>
        <w:spacing w:after="0"/>
      </w:pPr>
      <w:r w:rsidRPr="009F333E">
        <w:rPr>
          <w:i/>
          <w:iCs/>
        </w:rPr>
        <w:t>Escalating Cybersecurity Risks</w:t>
      </w:r>
      <w:r w:rsidRPr="00310D2F">
        <w:t>: Orphaned or unmonitored accounts held by non-active personnel represent primary targets for phishing, ransomware data breaches, and institutional spoofing.</w:t>
      </w:r>
    </w:p>
    <w:p w14:paraId="764392FC" w14:textId="6AACE638" w:rsidR="00310D2F" w:rsidRPr="00310D2F" w:rsidRDefault="00310D2F" w:rsidP="00310D2F">
      <w:pPr>
        <w:numPr>
          <w:ilvl w:val="0"/>
          <w:numId w:val="2"/>
        </w:numPr>
        <w:spacing w:after="0"/>
      </w:pPr>
      <w:r w:rsidRPr="009F333E">
        <w:rPr>
          <w:i/>
          <w:iCs/>
        </w:rPr>
        <w:t>Cloud Software Licensing Fees:</w:t>
      </w:r>
      <w:r w:rsidRPr="00310D2F">
        <w:t xml:space="preserve"> Following major pricing structure overhauls by dominant enterprise providers (such as Google Workspace and Microsoft 365), universities face massive per-user storage costs, making "email for life" models financially unsustainable.</w:t>
      </w:r>
    </w:p>
    <w:p w14:paraId="196AC193" w14:textId="4B47955C" w:rsidR="00310D2F" w:rsidRDefault="00310D2F" w:rsidP="00310D2F">
      <w:pPr>
        <w:numPr>
          <w:ilvl w:val="0"/>
          <w:numId w:val="2"/>
        </w:numPr>
        <w:spacing w:after="0"/>
      </w:pPr>
      <w:r w:rsidRPr="009F333E">
        <w:rPr>
          <w:i/>
          <w:iCs/>
        </w:rPr>
        <w:t>Data Compliance &amp; Governance</w:t>
      </w:r>
      <w:r w:rsidRPr="00310D2F">
        <w:t>: Storing years of old emails containing sensitive student records, personnel data, or proprietary research info exposes universities to major regulatory penalties under global privacy frameworks like GDPR.</w:t>
      </w:r>
    </w:p>
    <w:p w14:paraId="0980F51E" w14:textId="77777777" w:rsidR="009F333E" w:rsidRPr="00310D2F" w:rsidRDefault="009F333E" w:rsidP="009F333E">
      <w:pPr>
        <w:spacing w:after="0"/>
      </w:pPr>
    </w:p>
    <w:p w14:paraId="6728F132" w14:textId="334825BD" w:rsidR="00310D2F" w:rsidRDefault="00310D2F" w:rsidP="00310D2F">
      <w:pPr>
        <w:spacing w:after="0"/>
        <w:rPr>
          <w:b/>
          <w:bCs/>
        </w:rPr>
      </w:pPr>
      <w:proofErr w:type="gramStart"/>
      <w:r w:rsidRPr="00310D2F">
        <w:rPr>
          <w:b/>
          <w:bCs/>
        </w:rPr>
        <w:t>The Global</w:t>
      </w:r>
      <w:proofErr w:type="gramEnd"/>
      <w:r w:rsidRPr="00310D2F">
        <w:rPr>
          <w:b/>
          <w:bCs/>
        </w:rPr>
        <w:t xml:space="preserve"> Response and Advocacy</w:t>
      </w:r>
    </w:p>
    <w:p w14:paraId="36037B26" w14:textId="77777777" w:rsidR="009F333E" w:rsidRPr="00310D2F" w:rsidRDefault="009F333E" w:rsidP="00310D2F">
      <w:pPr>
        <w:spacing w:after="0"/>
        <w:rPr>
          <w:b/>
          <w:bCs/>
        </w:rPr>
      </w:pPr>
    </w:p>
    <w:p w14:paraId="28B9F63D" w14:textId="77777777" w:rsidR="00310D2F" w:rsidRPr="00310D2F" w:rsidRDefault="00310D2F" w:rsidP="00310D2F">
      <w:pPr>
        <w:spacing w:after="0"/>
      </w:pPr>
      <w:r w:rsidRPr="00310D2F">
        <w:t>The academic community is pushing back via coordinated international policy campaigns:</w:t>
      </w:r>
    </w:p>
    <w:p w14:paraId="01284B4B" w14:textId="341E1C62" w:rsidR="00310D2F" w:rsidRPr="00310D2F" w:rsidRDefault="00310D2F" w:rsidP="00310D2F">
      <w:pPr>
        <w:numPr>
          <w:ilvl w:val="0"/>
          <w:numId w:val="3"/>
        </w:numPr>
        <w:spacing w:after="0"/>
      </w:pPr>
      <w:r w:rsidRPr="009F333E">
        <w:rPr>
          <w:i/>
          <w:iCs/>
        </w:rPr>
        <w:t>The Emeriti Initiative</w:t>
      </w:r>
      <w:r w:rsidRPr="00310D2F">
        <w:t xml:space="preserve">: Launched by the global </w:t>
      </w:r>
      <w:proofErr w:type="spellStart"/>
      <w:r w:rsidRPr="00310D2F">
        <w:t>eRegion</w:t>
      </w:r>
      <w:proofErr w:type="spellEnd"/>
      <w:r w:rsidRPr="00310D2F">
        <w:t xml:space="preserve"> Network, this campaign encourages university executives to sign onto the </w:t>
      </w:r>
      <w:r w:rsidRPr="009F333E">
        <w:rPr>
          <w:i/>
          <w:iCs/>
        </w:rPr>
        <w:t>"</w:t>
      </w:r>
      <w:proofErr w:type="spellStart"/>
      <w:r w:rsidRPr="009F333E">
        <w:rPr>
          <w:i/>
          <w:iCs/>
        </w:rPr>
        <w:t>eMonument</w:t>
      </w:r>
      <w:proofErr w:type="spellEnd"/>
      <w:r w:rsidRPr="009F333E">
        <w:rPr>
          <w:i/>
          <w:iCs/>
        </w:rPr>
        <w:t xml:space="preserve"> to Age-friendly Universities"</w:t>
      </w:r>
      <w:r w:rsidRPr="00310D2F">
        <w:t>. It advocates that maintaining digital access is a cornerstone of digital inclusion, active aging, and societal benefit.</w:t>
      </w:r>
    </w:p>
    <w:p w14:paraId="01DD3A84" w14:textId="5C0D88D9" w:rsidR="00310D2F" w:rsidRPr="00310D2F" w:rsidRDefault="00310D2F" w:rsidP="00310D2F">
      <w:pPr>
        <w:numPr>
          <w:ilvl w:val="0"/>
          <w:numId w:val="3"/>
        </w:numPr>
        <w:spacing w:after="0"/>
      </w:pPr>
      <w:r w:rsidRPr="009F333E">
        <w:rPr>
          <w:i/>
          <w:iCs/>
        </w:rPr>
        <w:t>Organized Mobilization</w:t>
      </w:r>
      <w:r w:rsidRPr="00310D2F">
        <w:t xml:space="preserve">: The </w:t>
      </w:r>
      <w:hyperlink r:id="rId5" w:tgtFrame="_blank" w:history="1">
        <w:r w:rsidRPr="00310D2F">
          <w:rPr>
            <w:rStyle w:val="Hyperlink"/>
          </w:rPr>
          <w:t>European Association of Professors Emeriti</w:t>
        </w:r>
      </w:hyperlink>
      <w:r w:rsidRPr="00310D2F">
        <w:t xml:space="preserve"> has been issuing public appeals and statement papers urging administrations to stop treating retirement as a complete digital termination.</w:t>
      </w:r>
    </w:p>
    <w:p w14:paraId="7457BB8F" w14:textId="4974D111" w:rsidR="00035152" w:rsidRDefault="00310D2F" w:rsidP="009E5D74">
      <w:pPr>
        <w:numPr>
          <w:ilvl w:val="0"/>
          <w:numId w:val="3"/>
        </w:numPr>
        <w:spacing w:after="0"/>
      </w:pPr>
      <w:r w:rsidRPr="009F333E">
        <w:rPr>
          <w:i/>
          <w:iCs/>
        </w:rPr>
        <w:t>The Policy Compromise Trend</w:t>
      </w:r>
      <w:r w:rsidRPr="00310D2F">
        <w:t xml:space="preserve">: Some compromised frameworks are beginning to surface. For example, the </w:t>
      </w:r>
      <w:hyperlink r:id="rId6" w:tgtFrame="_blank" w:history="1">
        <w:r w:rsidRPr="00310D2F">
          <w:rPr>
            <w:rStyle w:val="Hyperlink"/>
          </w:rPr>
          <w:t>University of Cambridge Email Policy</w:t>
        </w:r>
      </w:hyperlink>
      <w:r w:rsidRPr="00310D2F">
        <w:t xml:space="preserve"> allows non-emeriti retirees to keep accounts if an active institutional sponsor fields a business case confirming their continued scholarly contribution. Other universities are transitioning active accounts into simple </w:t>
      </w:r>
      <w:r w:rsidRPr="009F333E">
        <w:rPr>
          <w:i/>
          <w:iCs/>
        </w:rPr>
        <w:t xml:space="preserve">email forwarding services </w:t>
      </w:r>
      <w:r w:rsidRPr="00310D2F">
        <w:t xml:space="preserve">to minimize infrastructure costs while protecting the researcher's reachability. </w:t>
      </w:r>
    </w:p>
    <w:sectPr w:rsidR="00035152" w:rsidSect="00707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2C0E"/>
    <w:multiLevelType w:val="multilevel"/>
    <w:tmpl w:val="C0A0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A1473"/>
    <w:multiLevelType w:val="multilevel"/>
    <w:tmpl w:val="8B8E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1646A"/>
    <w:multiLevelType w:val="multilevel"/>
    <w:tmpl w:val="2350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282A96"/>
    <w:multiLevelType w:val="multilevel"/>
    <w:tmpl w:val="CE1A6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3A3695"/>
    <w:multiLevelType w:val="multilevel"/>
    <w:tmpl w:val="61964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882293"/>
    <w:multiLevelType w:val="multilevel"/>
    <w:tmpl w:val="1FEE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038335">
    <w:abstractNumId w:val="1"/>
  </w:num>
  <w:num w:numId="2" w16cid:durableId="821771004">
    <w:abstractNumId w:val="4"/>
  </w:num>
  <w:num w:numId="3" w16cid:durableId="1433167472">
    <w:abstractNumId w:val="0"/>
  </w:num>
  <w:num w:numId="4" w16cid:durableId="1683169937">
    <w:abstractNumId w:val="5"/>
  </w:num>
  <w:num w:numId="5" w16cid:durableId="478301279">
    <w:abstractNumId w:val="2"/>
  </w:num>
  <w:num w:numId="6" w16cid:durableId="820999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2F"/>
    <w:rsid w:val="00035152"/>
    <w:rsid w:val="000D552C"/>
    <w:rsid w:val="0016404D"/>
    <w:rsid w:val="001B6AB7"/>
    <w:rsid w:val="00310D2F"/>
    <w:rsid w:val="003C7A96"/>
    <w:rsid w:val="004108D3"/>
    <w:rsid w:val="005236A8"/>
    <w:rsid w:val="00707E0D"/>
    <w:rsid w:val="009E5D74"/>
    <w:rsid w:val="009F333E"/>
    <w:rsid w:val="00DD11FD"/>
    <w:rsid w:val="00F367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60A8"/>
  <w15:chartTrackingRefBased/>
  <w15:docId w15:val="{6CC0455B-9B4D-49CB-82BA-463A1907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8D3"/>
    <w:rPr>
      <w:rFonts w:ascii="Arial" w:hAnsi="Arial"/>
      <w:kern w:val="0"/>
      <w:sz w:val="24"/>
      <w14:ligatures w14:val="none"/>
    </w:rPr>
  </w:style>
  <w:style w:type="paragraph" w:styleId="Heading1">
    <w:name w:val="heading 1"/>
    <w:basedOn w:val="Normal"/>
    <w:next w:val="Normal"/>
    <w:link w:val="Heading1Char"/>
    <w:uiPriority w:val="9"/>
    <w:qFormat/>
    <w:rsid w:val="00310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D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D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0D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0D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0D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0D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0D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D2F"/>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310D2F"/>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310D2F"/>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310D2F"/>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310D2F"/>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310D2F"/>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310D2F"/>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310D2F"/>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310D2F"/>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310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D2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10D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D2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10D2F"/>
    <w:pPr>
      <w:spacing w:before="160"/>
      <w:jc w:val="center"/>
    </w:pPr>
    <w:rPr>
      <w:i/>
      <w:iCs/>
      <w:color w:val="404040" w:themeColor="text1" w:themeTint="BF"/>
    </w:rPr>
  </w:style>
  <w:style w:type="character" w:customStyle="1" w:styleId="QuoteChar">
    <w:name w:val="Quote Char"/>
    <w:basedOn w:val="DefaultParagraphFont"/>
    <w:link w:val="Quote"/>
    <w:uiPriority w:val="29"/>
    <w:rsid w:val="00310D2F"/>
    <w:rPr>
      <w:rFonts w:ascii="Arial" w:hAnsi="Arial"/>
      <w:i/>
      <w:iCs/>
      <w:color w:val="404040" w:themeColor="text1" w:themeTint="BF"/>
      <w:kern w:val="0"/>
      <w:sz w:val="24"/>
      <w14:ligatures w14:val="none"/>
    </w:rPr>
  </w:style>
  <w:style w:type="paragraph" w:styleId="ListParagraph">
    <w:name w:val="List Paragraph"/>
    <w:basedOn w:val="Normal"/>
    <w:uiPriority w:val="34"/>
    <w:qFormat/>
    <w:rsid w:val="00310D2F"/>
    <w:pPr>
      <w:ind w:left="720"/>
      <w:contextualSpacing/>
    </w:pPr>
  </w:style>
  <w:style w:type="character" w:styleId="IntenseEmphasis">
    <w:name w:val="Intense Emphasis"/>
    <w:basedOn w:val="DefaultParagraphFont"/>
    <w:uiPriority w:val="21"/>
    <w:qFormat/>
    <w:rsid w:val="00310D2F"/>
    <w:rPr>
      <w:i/>
      <w:iCs/>
      <w:color w:val="0F4761" w:themeColor="accent1" w:themeShade="BF"/>
    </w:rPr>
  </w:style>
  <w:style w:type="paragraph" w:styleId="IntenseQuote">
    <w:name w:val="Intense Quote"/>
    <w:basedOn w:val="Normal"/>
    <w:next w:val="Normal"/>
    <w:link w:val="IntenseQuoteChar"/>
    <w:uiPriority w:val="30"/>
    <w:qFormat/>
    <w:rsid w:val="00310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D2F"/>
    <w:rPr>
      <w:rFonts w:ascii="Arial" w:hAnsi="Arial"/>
      <w:i/>
      <w:iCs/>
      <w:color w:val="0F4761" w:themeColor="accent1" w:themeShade="BF"/>
      <w:kern w:val="0"/>
      <w:sz w:val="24"/>
      <w14:ligatures w14:val="none"/>
    </w:rPr>
  </w:style>
  <w:style w:type="character" w:styleId="IntenseReference">
    <w:name w:val="Intense Reference"/>
    <w:basedOn w:val="DefaultParagraphFont"/>
    <w:uiPriority w:val="32"/>
    <w:qFormat/>
    <w:rsid w:val="00310D2F"/>
    <w:rPr>
      <w:b/>
      <w:bCs/>
      <w:smallCaps/>
      <w:color w:val="0F4761" w:themeColor="accent1" w:themeShade="BF"/>
      <w:spacing w:val="5"/>
    </w:rPr>
  </w:style>
  <w:style w:type="character" w:styleId="Hyperlink">
    <w:name w:val="Hyperlink"/>
    <w:basedOn w:val="DefaultParagraphFont"/>
    <w:uiPriority w:val="99"/>
    <w:unhideWhenUsed/>
    <w:rsid w:val="00310D2F"/>
    <w:rPr>
      <w:color w:val="467886" w:themeColor="hyperlink"/>
      <w:u w:val="single"/>
    </w:rPr>
  </w:style>
  <w:style w:type="character" w:styleId="UnresolvedMention">
    <w:name w:val="Unresolved Mention"/>
    <w:basedOn w:val="DefaultParagraphFont"/>
    <w:uiPriority w:val="99"/>
    <w:semiHidden/>
    <w:unhideWhenUsed/>
    <w:rsid w:val="00310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uis.cam.ac.uk/service/email/address-allocation-policy/retired-members-staff-information-about-email-addresses" TargetMode="External"/><Relationship Id="rId5" Type="http://schemas.openxmlformats.org/officeDocument/2006/relationships/hyperlink" Target="http://eregion.eu/retired-professors-retention-of-university-email-account-after-retirement-27-12-20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 Gričar</dc:creator>
  <cp:keywords/>
  <dc:description/>
  <cp:lastModifiedBy>Jože Gričar</cp:lastModifiedBy>
  <cp:revision>2</cp:revision>
  <dcterms:created xsi:type="dcterms:W3CDTF">2026-06-06T15:53:00Z</dcterms:created>
  <dcterms:modified xsi:type="dcterms:W3CDTF">2026-06-06T15:53:00Z</dcterms:modified>
</cp:coreProperties>
</file>